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CASO DIDÁCTICO (FICTICIO) — Práctica de clase. No corresponde a un proceso real del INC; los datos son inventados con fines pedagógicos.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ENCABEZADO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- Entidad: Instituto Nacional de Cancerología ESE (INC)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 NIT: 899.999.092-7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 Régimen: especial (Acuerdo 005 de 2024; Decreto 092 de 2017)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No. de proceso: INVITACIÓN A COTIZAR No. IC-2026-0291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 Dependencia: Grupo Área Gestión Contractual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CDP: 1202600496 / 2026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 OBJETO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Contratar el servicio de mantenimiento preventivo y correctivo, incluido el suministro de repuestos originales, para los seis (6) equipos de aire acondicionado de precisión marca STULZ (modelo CyberAir) que controlan temperatura y humedad de las áreas críticas del INC: salas de cirugía, UCI, laboratorio de patología y cuarto de almacenamiento de muestras.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2. JUSTIFICACIÓN / NECESIDAD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Las áreas críticas requieren control permanente de temperatura y humedad. Una falla prolongada compromete la bioseguridad de cirugías y UCI y la integridad de las muestras de patología (cadena de frío). Los equipos no tienen contrato de mantenimiento vigente; se debe asegurar su operación continua en el segundo semestre de 2026.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 MODALIDAD, NORMA Y PRESUPUESTO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Modalidad: Invitación a Cotizar (art. 15, Acuerdo 005 de 2024), cuantía entre 20 y 200 SMLMV.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Presupuesto oficial: $96.450.000 (incluye todos los impuestos).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Desglose: $12.000.000 corresponden a una bolsa de repuestos.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Recursos: propios.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UNSPSC: 72102905 (mantenimiento de aire acondicionado).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4. REQUISITOS HABILITANTES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Experiencia: mínimo dos (2) certificaciones de contratos ejecutados o liquidados en los últimos cinco (5) años, de objeto igual o similar (mantenimiento de aire acondicionado de precisión / HVAC). Sumatoria ≥ 100% del presupuesto oficial.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Indicadores financieros: capital de trabajo ≥ 20% del valor de la propuesta; razón corriente ≥ 1.20; nivel de endeudamiento ≤ 83%.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5. ESPECIFICACIONES TÉCNICAS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Dos (2) mantenimientos preventivos en la vigencia + atención correctiva con tiempo de respuesta ≤ 8 horas.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Repuestos nuevos, originales, no remanufacturados.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Carta de distribuidor o servicio autorizado emitida por el fabricante (STULZ), vigente durante la ejecución.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Informe técnico por cada intervención.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6. PUNTOS DE DECISIÓN (resueltos para el caso)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¿Lotes? No.  ¿Propuestas parciales? No.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¿Bolsa de repuestos? Sí ($12.000.000).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¿Carta de fabricante? Sí.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¿Indicadores financieros explícitos? Sí.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¿Adjudicación? Menor precio, sin superar el Precio Techo del Análisis del Sector.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 ¿Garantía de responsabilidad civil extracontractual (RCE)? Sí (10%).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¿Forma de pago? Pagos mensuales contra informe.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7. PLAZO Y FORMA DE PAGO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 Plazo: desde la legalización del contrato hasta el 31 de diciembre de 2026.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- Pago: mensual, contra informe de mantenimiento recibido a satisfacción por el supervisor y factura.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8. GARANTÍAS APLICABLES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- Cumplimiento: 20% (ejecución + 4 meses)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- Calidad del servicio: 20% (ejecución + 4 meses)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 Calidad y correcto funcionamiento de repuestos: 20% (ejecución + 4 meses)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- Pago de salarios y prestaciones: 5% (ejecución + 3 años)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Responsabilidad civil extracontractual: 10%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Seriedad de la oferta: 20% del presupuesto (90 días)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