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34"/>
          <w:szCs w:val="34"/>
          <w:rtl w:val="0"/>
        </w:rPr>
        <w:t xml:space="preserve">FICHA DE REQUISITOS HABILITANTES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0" w:lineRule="auto"/>
        <w:rPr/>
      </w:pPr>
      <w:r w:rsidDel="00000000" w:rsidR="00000000" w:rsidRPr="00000000">
        <w:rPr>
          <w:rFonts w:ascii="Calibri" w:cs="Calibri" w:eastAsia="Calibri" w:hAnsi="Calibri"/>
          <w:color w:val="2e5496"/>
          <w:sz w:val="21"/>
          <w:szCs w:val="21"/>
          <w:rtl w:val="0"/>
        </w:rPr>
        <w:t xml:space="preserve">Proceso de vigilancia y seguridad privada — Instituto Nacional de Cancerología (INC)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f3864" w:space="4" w:sz="12" w:val="single"/>
        </w:pBdr>
        <w:spacing w:after="16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17"/>
          <w:szCs w:val="17"/>
          <w:rtl w:val="0"/>
        </w:rPr>
        <w:t xml:space="preserve">Material didáctico ficticio para el taller. Los umbrales y plazos aplican al caso del ejercicio.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Datos del proceso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bfbfbf" w:space="0" w:sz="2" w:val="single"/>
          <w:left w:color="bfbfbf" w:space="0" w:sz="2" w:val="single"/>
          <w:bottom w:color="bfbfbf" w:space="0" w:sz="2" w:val="single"/>
          <w:right w:color="bfbfbf" w:space="0" w:sz="2" w:val="single"/>
          <w:insideH w:color="bfbfbf" w:space="0" w:sz="2" w:val="single"/>
          <w:insideV w:color="bfbfbf" w:space="0" w:sz="2" w:val="single"/>
        </w:tblBorders>
        <w:tblLayout w:type="fixed"/>
        <w:tblLook w:val="0000"/>
      </w:tblPr>
      <w:tblGrid>
        <w:gridCol w:w="2600"/>
        <w:gridCol w:w="6760"/>
        <w:tblGridChange w:id="0">
          <w:tblGrid>
            <w:gridCol w:w="2600"/>
            <w:gridCol w:w="6760"/>
          </w:tblGrid>
        </w:tblGridChange>
      </w:tblGrid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Objeto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9"/>
                <w:szCs w:val="19"/>
                <w:rtl w:val="0"/>
              </w:rPr>
              <w:t xml:space="preserve">Servicio de vigilancia y seguridad privada para las sedes del INC.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Modalidad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9"/>
                <w:szCs w:val="19"/>
                <w:rtl w:val="0"/>
              </w:rPr>
              <w:t xml:space="preserve">Invitación a Cotizar (régimen especial, Acuerdo 005 de 2024).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Presupuesto oficial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9"/>
                <w:szCs w:val="19"/>
                <w:rtl w:val="0"/>
              </w:rPr>
              <w:t xml:space="preserve">$190.000.000 (incluye impuestos).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Plazo de ejecución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9"/>
                <w:szCs w:val="19"/>
                <w:rtl w:val="0"/>
              </w:rPr>
              <w:t xml:space="preserve">1 de noviembre de 2026 a 31 de octubre de 2027.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2f8" w:val="clear"/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1f3864"/>
                <w:sz w:val="19"/>
                <w:szCs w:val="19"/>
                <w:rtl w:val="0"/>
              </w:rPr>
              <w:t xml:space="preserve">Fecha de cierre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100.0" w:type="dxa"/>
              <w:bottom w:w="5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9"/>
                <w:szCs w:val="19"/>
                <w:rtl w:val="0"/>
              </w:rPr>
              <w:t xml:space="preserve">20 de octubre de 2026 (presentación de ofertas).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6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Regla general de verificación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Los requisitos habilitantes son condiciones mínimas para participar; no otorgan puntaje. Cada requisito se evalúa como CUMPLE o NO CUMPLE. Lo no acreditado que no otorgue puntaje puede subsanarse dentro del plazo que fije la entidad (72 horas). La ausencia de un requisito no subsanado, o la información que no corresponda a lo exigido, es causal de rechazo.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1f3864" w:space="2" w:sz="4" w:val="single"/>
        </w:pBdr>
        <w:shd w:fill="d9e2f3" w:val="clear"/>
        <w:spacing w:after="8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1. Capacidad jurídica: existencia, representación legal y objeto social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e5496"/>
          <w:sz w:val="16"/>
          <w:szCs w:val="16"/>
          <w:rtl w:val="0"/>
        </w:rPr>
        <w:t xml:space="preserve">     [Jurídico]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Qué se exige: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Que el oferente exista legalmente, que su representante esté facultado para presentar la oferta y suscribir el contrato, y que su objeto social le permita prestar servicios de vigilancia y seguridad privada.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Umbral / plazo: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Certificado de Cámara de Comercio expedido máximo 30 días antes del cierre (es decir, a partir del 20/09/2026); duración de la sociedad mayor o igual al plazo del contrato más un (1) año.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Cómo se acredita: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Certificado de existencia y representación legal; RUT con actividad económica acorde.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bottom w:color="1f3864" w:space="2" w:sz="4" w:val="single"/>
        </w:pBdr>
        <w:shd w:fill="d9e2f3" w:val="clear"/>
        <w:spacing w:after="8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2. Licencia de funcionamiento de la SuperVigilancia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e5496"/>
          <w:sz w:val="16"/>
          <w:szCs w:val="16"/>
          <w:rtl w:val="0"/>
        </w:rPr>
        <w:t xml:space="preserve">     [Jurídico]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Qué se exige: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Licencia que autorice la modalidad del servicio requerido, expedida por la Superintendencia de Vigilancia y Seguridad Privada.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Umbral / plazo: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Debe estar vigente durante TODO el plazo de ejecución, es decir, cubrir hasta el 31/10/2027.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Cómo se acredita: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Resolución o licencia de la SuperVigilancia.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Verificación: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Confirmar que la fecha de vigencia de la licencia cubre hasta el 31/10/2027; si vence antes, no cumple.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1f3864" w:space="2" w:sz="4" w:val="single"/>
        </w:pBdr>
        <w:shd w:fill="d9e2f3" w:val="clear"/>
        <w:spacing w:after="8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3. Ausencia de inhabilidades e incompatibilidades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e5496"/>
          <w:sz w:val="16"/>
          <w:szCs w:val="16"/>
          <w:rtl w:val="0"/>
        </w:rPr>
        <w:t xml:space="preserve">     [Jurídico]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Qué se exige: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Que el oferente y su representante legal no estén incursos en inhabilidades ni incompatibilidades para contratar con el Estado.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Umbral / plazo: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Certificados de antecedentes (Contraloría, Procuraduría, Policía, medidas correctivas, REDAM y consulta de delitos sexuales) sin reportes que inhabiliten y expedidos dentro de los 30 días anteriores al cierre (a partir del 20/09/2026).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Cómo se acredita: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Los seis certificados de antecedentes.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Verificación: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Revisar que no haya reportes y que la fecha de expedición de cada certificado esté dentro del plazo.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bottom w:color="1f3864" w:space="2" w:sz="4" w:val="single"/>
        </w:pBdr>
        <w:shd w:fill="d9e2f3" w:val="clear"/>
        <w:spacing w:after="8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4. Experiencia específica acreditada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e5496"/>
          <w:sz w:val="16"/>
          <w:szCs w:val="16"/>
          <w:rtl w:val="0"/>
        </w:rPr>
        <w:t xml:space="preserve">     [Experiencia]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Qué se exige: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Experiencia en contratos de vigilancia y seguridad privada de objeto igual o similar al del proceso.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Umbral / plazo: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Mínimo dos (2) contratos ejecutados o liquidados en los últimos 5 años (desde el 20/10/2021), cuya sumatoria sea mayor o igual al 100% del presupuesto oficial ($190.000.000).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Cómo se acredita: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Certificaciones de los contratos (objeto, valor, periodo de ejecución y entidad contratante).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" w:lineRule="auto"/>
        <w:ind w:left="240" w:firstLine="0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62626"/>
          <w:sz w:val="18"/>
          <w:szCs w:val="18"/>
          <w:rtl w:val="0"/>
        </w:rPr>
        <w:t xml:space="preserve">Cómo se calcula: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" w:lineRule="auto"/>
        <w:ind w:left="240" w:firstLine="0"/>
        <w:rPr/>
      </w:pPr>
      <w:r w:rsidDel="00000000" w:rsidR="00000000" w:rsidRPr="00000000">
        <w:rPr>
          <w:rFonts w:ascii="Calibri" w:cs="Calibri" w:eastAsia="Calibri" w:hAnsi="Calibri"/>
          <w:i w:val="0"/>
          <w:iCs w:val="0"/>
          <w:color w:val="262626"/>
          <w:sz w:val="18"/>
          <w:szCs w:val="18"/>
          <w:rtl w:val="0"/>
        </w:rPr>
        <w:t xml:space="preserve">• Cuente solo los contratos VÁLIDOS: objeto de vigilancia y seguridad privada, y dentro de los últimos 5 años.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" w:lineRule="auto"/>
        <w:ind w:left="240" w:firstLine="0"/>
        <w:rPr/>
      </w:pPr>
      <w:r w:rsidDel="00000000" w:rsidR="00000000" w:rsidRPr="00000000">
        <w:rPr>
          <w:rFonts w:ascii="Calibri" w:cs="Calibri" w:eastAsia="Calibri" w:hAnsi="Calibri"/>
          <w:i w:val="0"/>
          <w:iCs w:val="0"/>
          <w:color w:val="262626"/>
          <w:sz w:val="18"/>
          <w:szCs w:val="18"/>
          <w:rtl w:val="0"/>
        </w:rPr>
        <w:t xml:space="preserve">• Sume el valor de esos contratos válidos.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60" w:lineRule="auto"/>
        <w:ind w:left="240" w:firstLine="0"/>
        <w:rPr/>
      </w:pPr>
      <w:r w:rsidDel="00000000" w:rsidR="00000000" w:rsidRPr="00000000">
        <w:rPr>
          <w:rFonts w:ascii="Calibri" w:cs="Calibri" w:eastAsia="Calibri" w:hAnsi="Calibri"/>
          <w:i w:val="0"/>
          <w:iCs w:val="0"/>
          <w:color w:val="262626"/>
          <w:sz w:val="18"/>
          <w:szCs w:val="18"/>
          <w:rtl w:val="0"/>
        </w:rPr>
        <w:t xml:space="preserve">• Verifique que el total sea ≥ $190.000.000 y que haya al menos dos contratos válidos. Descarte los que no sean de vigilancia o estén fuera del plazo.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bottom w:color="1f3864" w:space="2" w:sz="4" w:val="single"/>
        </w:pBdr>
        <w:shd w:fill="d9e2f3" w:val="clear"/>
        <w:spacing w:after="8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5. Capacidad financiera (indicadores del último año fiscal)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e5496"/>
          <w:sz w:val="16"/>
          <w:szCs w:val="16"/>
          <w:rtl w:val="0"/>
        </w:rPr>
        <w:t xml:space="preserve">     [Financiero]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Qué se exige: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Solidez financiera suficiente para ejecutar el contrato, medida por tres indicadores.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Umbrales: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Capital de trabajo ≥ $38.000.000 (20% del presupuesto); razón corriente ≥ 1.20; nivel de endeudamiento ≤ 83%. Deben cumplirse los tres.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7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62626"/>
          <w:sz w:val="19"/>
          <w:szCs w:val="19"/>
          <w:rtl w:val="0"/>
        </w:rPr>
        <w:t xml:space="preserve">Cómo se acredita: </w:t>
      </w: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Estado de situación financiera o RUP con activo corriente, pasivo corriente, activo total y pasivo total.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0" w:lineRule="auto"/>
        <w:ind w:left="240" w:firstLine="0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262626"/>
          <w:sz w:val="18"/>
          <w:szCs w:val="18"/>
          <w:rtl w:val="0"/>
        </w:rPr>
        <w:t xml:space="preserve">Cómo se calcula: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0" w:lineRule="auto"/>
        <w:ind w:left="240" w:firstLine="0"/>
        <w:rPr/>
      </w:pPr>
      <w:r w:rsidDel="00000000" w:rsidR="00000000" w:rsidRPr="00000000">
        <w:rPr>
          <w:rFonts w:ascii="Calibri" w:cs="Calibri" w:eastAsia="Calibri" w:hAnsi="Calibri"/>
          <w:i w:val="0"/>
          <w:iCs w:val="0"/>
          <w:color w:val="262626"/>
          <w:sz w:val="18"/>
          <w:szCs w:val="18"/>
          <w:rtl w:val="0"/>
        </w:rPr>
        <w:t xml:space="preserve">• Capital de trabajo = Activo corriente − Pasivo corriente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" w:lineRule="auto"/>
        <w:ind w:left="240" w:firstLine="0"/>
        <w:rPr/>
      </w:pPr>
      <w:r w:rsidDel="00000000" w:rsidR="00000000" w:rsidRPr="00000000">
        <w:rPr>
          <w:rFonts w:ascii="Calibri" w:cs="Calibri" w:eastAsia="Calibri" w:hAnsi="Calibri"/>
          <w:i w:val="0"/>
          <w:iCs w:val="0"/>
          <w:color w:val="262626"/>
          <w:sz w:val="18"/>
          <w:szCs w:val="18"/>
          <w:rtl w:val="0"/>
        </w:rPr>
        <w:t xml:space="preserve">• Razón corriente = Activo corriente ÷ Pasivo corriente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60" w:lineRule="auto"/>
        <w:ind w:left="240" w:firstLine="0"/>
        <w:rPr/>
      </w:pPr>
      <w:r w:rsidDel="00000000" w:rsidR="00000000" w:rsidRPr="00000000">
        <w:rPr>
          <w:rFonts w:ascii="Calibri" w:cs="Calibri" w:eastAsia="Calibri" w:hAnsi="Calibri"/>
          <w:i w:val="0"/>
          <w:iCs w:val="0"/>
          <w:color w:val="262626"/>
          <w:sz w:val="18"/>
          <w:szCs w:val="18"/>
          <w:rtl w:val="0"/>
        </w:rPr>
        <w:t xml:space="preserve">• Nivel de endeudamiento = (Pasivo total ÷ Activo total) × 100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40" w:before="2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0"/>
          <w:szCs w:val="20"/>
          <w:rtl w:val="0"/>
        </w:rPr>
        <w:t xml:space="preserve">Nota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Calibri" w:cs="Calibri" w:eastAsia="Calibri" w:hAnsi="Calibri"/>
          <w:color w:val="262626"/>
          <w:sz w:val="18"/>
          <w:szCs w:val="18"/>
          <w:rtl w:val="0"/>
        </w:rPr>
        <w:t xml:space="preserve">La oferta incluye además otros documentos (carta de presentación de la propuesta y garantía de seriedad por el 20% del presupuesto con vigencia de 90 días). El comité de este ejercicio centra la verificación en los cinco requisitos anteriores.</w:t>
      </w:r>
      <w:r w:rsidDel="00000000" w:rsidR="00000000" w:rsidRPr="00000000">
        <w:rPr>
          <w:rtl w:val="0"/>
        </w:rPr>
      </w:r>
    </w:p>
    <w:sectPr>
      <w:footerReference r:id="rId6" w:type="default"/>
      <w:headerReference w:type="default" r:id="rId7"/>
      <w:pgSz w:h="15840" w:w="12240" w:orient="portrait"/>
      <w:pgMar w:bottom="1080" w:top="108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color="bfbfbf" w:space="4" w:sz="4" w:val="single"/>
      </w:pBdr>
      <w:jc w:val="center"/>
      <w:rPr/>
    </w:pPr>
    <w:r w:rsidDel="00000000" w:rsidR="00000000" w:rsidRPr="00000000">
      <w:rPr>
        <w:rFonts w:ascii="Calibri" w:cs="Calibri" w:eastAsia="Calibri" w:hAnsi="Calibri"/>
        <w:color w:val="595959"/>
        <w:sz w:val="15"/>
        <w:szCs w:val="15"/>
        <w:rtl w:val="0"/>
      </w:rPr>
      <w:t xml:space="preserve">Ficha de Requisitos Habilitantes · Proceso de vigilancia (INC) · Material didáctico     |     Página </w:t>
    </w:r>
    <w:r w:rsidDel="00000000" w:rsidR="00000000" w:rsidRPr="00000000"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595959"/>
        <w:sz w:val="15"/>
        <w:szCs w:val="15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python-docx</cp:lastModifiedBy>
  <cp:revision>1</cp:revision>
  <dcterms:modified xsi:type="dcterms:W3CDTF">2026-10-09T01:32:33Z</dcterms:modified>
  <dc:description/>
</cp:coreProperties>
</file>